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E5600" w14:textId="4FAA7D0D" w:rsidR="002632DD" w:rsidRPr="00B62872" w:rsidRDefault="002632DD" w:rsidP="002632DD">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#96</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A2D76" w:rsidRPr="00BA2D76">
        <w:rPr>
          <w:rFonts w:ascii="Arial" w:hAnsi="Arial" w:cs="Arial"/>
          <w:b/>
          <w:sz w:val="24"/>
          <w:lang w:val="en-US"/>
        </w:rPr>
        <w:t>R1-1902485</w:t>
      </w:r>
    </w:p>
    <w:p w14:paraId="73061EBB" w14:textId="77777777" w:rsidR="002632DD" w:rsidRPr="00B62872" w:rsidRDefault="002632DD" w:rsidP="002632DD">
      <w:pPr>
        <w:spacing w:after="0"/>
        <w:ind w:left="1988" w:hanging="1988"/>
        <w:rPr>
          <w:rFonts w:ascii="Arial" w:hAnsi="Arial" w:cs="Arial"/>
          <w:b/>
          <w:sz w:val="24"/>
          <w:lang w:val="en-US"/>
        </w:rPr>
      </w:pPr>
      <w:r>
        <w:rPr>
          <w:rFonts w:ascii="Arial" w:hAnsi="Arial" w:cs="Arial"/>
          <w:b/>
          <w:sz w:val="24"/>
          <w:lang w:val="en-US"/>
        </w:rPr>
        <w:t>Athens</w:t>
      </w:r>
      <w:r w:rsidRPr="00B62872">
        <w:rPr>
          <w:rFonts w:ascii="Arial" w:hAnsi="Arial" w:cs="Arial"/>
          <w:b/>
          <w:sz w:val="24"/>
          <w:lang w:val="en-US"/>
        </w:rPr>
        <w:t xml:space="preserve">, </w:t>
      </w:r>
      <w:r>
        <w:rPr>
          <w:rFonts w:ascii="Arial" w:hAnsi="Arial" w:cs="Arial"/>
          <w:b/>
          <w:sz w:val="24"/>
          <w:lang w:val="en-US"/>
        </w:rPr>
        <w:t>Greece</w:t>
      </w:r>
      <w:r w:rsidRPr="00B62872">
        <w:rPr>
          <w:rFonts w:ascii="Arial" w:hAnsi="Arial" w:cs="Arial"/>
          <w:b/>
          <w:sz w:val="24"/>
          <w:lang w:val="en-US"/>
        </w:rPr>
        <w:t xml:space="preserve">, </w:t>
      </w:r>
      <w:r>
        <w:rPr>
          <w:rFonts w:ascii="Arial" w:hAnsi="Arial" w:cs="Arial"/>
          <w:b/>
          <w:sz w:val="24"/>
          <w:lang w:val="en-US"/>
        </w:rPr>
        <w:t>February 25</w:t>
      </w:r>
      <w:r w:rsidRPr="00372E50">
        <w:rPr>
          <w:rFonts w:ascii="Arial" w:hAnsi="Arial" w:cs="Arial"/>
          <w:b/>
          <w:sz w:val="24"/>
          <w:vertAlign w:val="superscript"/>
          <w:lang w:val="en-US"/>
        </w:rPr>
        <w:t>th</w:t>
      </w:r>
      <w:r>
        <w:rPr>
          <w:rFonts w:ascii="Arial" w:hAnsi="Arial" w:cs="Arial"/>
          <w:b/>
          <w:sz w:val="24"/>
          <w:lang w:val="en-US"/>
        </w:rPr>
        <w:t xml:space="preserve"> - March 1</w:t>
      </w:r>
      <w:r w:rsidRPr="00372E50">
        <w:rPr>
          <w:rFonts w:ascii="Arial" w:hAnsi="Arial" w:cs="Arial"/>
          <w:b/>
          <w:sz w:val="24"/>
          <w:vertAlign w:val="superscript"/>
          <w:lang w:val="en-US"/>
        </w:rPr>
        <w:t>st</w:t>
      </w:r>
      <w:r w:rsidRPr="00B62872">
        <w:rPr>
          <w:rFonts w:ascii="Arial" w:hAnsi="Arial" w:cs="Arial"/>
          <w:b/>
          <w:sz w:val="24"/>
          <w:lang w:val="en-US"/>
        </w:rPr>
        <w:t>, 2019</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40F15E48"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BA2D76" w:rsidRPr="00BA2D76">
        <w:rPr>
          <w:rFonts w:ascii="Arial" w:hAnsi="Arial" w:cs="Arial"/>
          <w:b/>
          <w:sz w:val="24"/>
          <w:lang w:val="en-US"/>
        </w:rPr>
        <w:t xml:space="preserve">Analysis of NR </w:t>
      </w:r>
      <w:proofErr w:type="spellStart"/>
      <w:r w:rsidR="00BA2D76" w:rsidRPr="00BA2D76">
        <w:rPr>
          <w:rFonts w:ascii="Arial" w:hAnsi="Arial" w:cs="Arial"/>
          <w:b/>
          <w:sz w:val="24"/>
          <w:lang w:val="en-US"/>
        </w:rPr>
        <w:t>Uu</w:t>
      </w:r>
      <w:proofErr w:type="spellEnd"/>
      <w:r w:rsidR="00BA2D76" w:rsidRPr="00BA2D76">
        <w:rPr>
          <w:rFonts w:ascii="Arial" w:hAnsi="Arial" w:cs="Arial"/>
          <w:b/>
          <w:sz w:val="24"/>
          <w:lang w:val="en-US"/>
        </w:rPr>
        <w:t xml:space="preserve"> interface to support advanced V2X use cases</w:t>
      </w:r>
    </w:p>
    <w:p w14:paraId="0515EB6E" w14:textId="2564999A"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F1389E">
        <w:rPr>
          <w:rFonts w:ascii="Arial" w:hAnsi="Arial" w:cs="Arial"/>
          <w:b/>
          <w:sz w:val="24"/>
          <w:lang w:val="en-US"/>
        </w:rPr>
        <w:t>7</w:t>
      </w:r>
      <w:r w:rsidR="00103994" w:rsidRPr="00F1389E">
        <w:rPr>
          <w:rFonts w:ascii="Arial" w:hAnsi="Arial" w:cs="Arial"/>
          <w:b/>
          <w:sz w:val="24"/>
          <w:lang w:val="en-US"/>
        </w:rPr>
        <w:t>.</w:t>
      </w:r>
      <w:r w:rsidR="001917CD" w:rsidRPr="00F1389E">
        <w:rPr>
          <w:rFonts w:ascii="Arial" w:hAnsi="Arial" w:cs="Arial"/>
          <w:b/>
          <w:sz w:val="24"/>
          <w:lang w:val="en-US"/>
        </w:rPr>
        <w:t>2</w:t>
      </w:r>
      <w:r w:rsidR="00103994" w:rsidRPr="00F1389E">
        <w:rPr>
          <w:rFonts w:ascii="Arial" w:hAnsi="Arial" w:cs="Arial"/>
          <w:b/>
          <w:sz w:val="24"/>
          <w:lang w:val="en-US"/>
        </w:rPr>
        <w:t>.</w:t>
      </w:r>
      <w:r w:rsidR="001917CD" w:rsidRPr="00F1389E">
        <w:rPr>
          <w:rFonts w:ascii="Arial" w:hAnsi="Arial" w:cs="Arial"/>
          <w:b/>
          <w:sz w:val="24"/>
          <w:lang w:val="en-US"/>
        </w:rPr>
        <w:t>4.</w:t>
      </w:r>
      <w:r w:rsidR="00F6793E" w:rsidRPr="00F1389E">
        <w:rPr>
          <w:rFonts w:ascii="Arial" w:hAnsi="Arial" w:cs="Arial"/>
          <w:b/>
          <w:sz w:val="24"/>
          <w:lang w:val="en-US"/>
        </w:rPr>
        <w:t>2</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1879825F" w14:textId="0EBBE8EC" w:rsidR="006D4373" w:rsidRDefault="006D4373" w:rsidP="0017661D">
      <w:pPr>
        <w:pStyle w:val="3GPPText"/>
      </w:pPr>
      <w:r>
        <w:t xml:space="preserve">Support of the advanced V2X use cases for NR </w:t>
      </w:r>
      <w:proofErr w:type="spellStart"/>
      <w:r>
        <w:t>Uu</w:t>
      </w:r>
      <w:proofErr w:type="spellEnd"/>
      <w:r>
        <w:t xml:space="preserve"> was discussed mainly in context of introducing additional enhancements to serve specific V2X traffic patterns in NR. Multiple CG PUSCH configurations have been agreed to aid communication with quasi-periodic traffic patterns, as it was done in Rel.14 SPS enhancements. Also, support of assistance information reporting has been agreed, however </w:t>
      </w:r>
      <w:r w:rsidR="00FD67D8">
        <w:t>the reporting details</w:t>
      </w:r>
      <w:r>
        <w:t xml:space="preserve"> </w:t>
      </w:r>
      <w:r w:rsidR="00FD67D8">
        <w:t xml:space="preserve">are </w:t>
      </w:r>
      <w:r>
        <w:t>mostly</w:t>
      </w:r>
      <w:r w:rsidR="00FD67D8">
        <w:t xml:space="preserve"> in </w:t>
      </w:r>
      <w:r>
        <w:t>RAN2 scope.</w:t>
      </w:r>
    </w:p>
    <w:p w14:paraId="3144829F" w14:textId="0D8FAEB0" w:rsidR="00E71EC1" w:rsidRDefault="00E71EC1" w:rsidP="0017661D">
      <w:pPr>
        <w:pStyle w:val="3GPPText"/>
      </w:pPr>
      <w:r>
        <w:t xml:space="preserve">In </w:t>
      </w:r>
      <w:r w:rsidR="005F04E4">
        <w:t>this contribution</w:t>
      </w:r>
      <w:r>
        <w:t xml:space="preserve">, we </w:t>
      </w:r>
      <w:r w:rsidR="00C32FAA">
        <w:t xml:space="preserve">further </w:t>
      </w:r>
      <w:r w:rsidR="006D4373">
        <w:t>analyze some of the details although they may not be urgent to be decided in SI phase</w:t>
      </w:r>
      <w:r w:rsidR="00E90540">
        <w:t>.</w:t>
      </w:r>
      <w:r w:rsidR="006079F5">
        <w:t xml:space="preserve"> Other aspects related to NR V2X study are discussed in our companion contributions</w:t>
      </w:r>
      <w:r w:rsidR="00C13005">
        <w:t xml:space="preserve"> </w:t>
      </w:r>
      <w:r w:rsidR="00FD67D8">
        <w:fldChar w:fldCharType="begin"/>
      </w:r>
      <w:r w:rsidR="00FD67D8">
        <w:instrText xml:space="preserve"> REF _Ref1173204 \r \h </w:instrText>
      </w:r>
      <w:r w:rsidR="00FD67D8">
        <w:fldChar w:fldCharType="separate"/>
      </w:r>
      <w:r w:rsidR="00FD67D8">
        <w:t>[6]</w:t>
      </w:r>
      <w:r w:rsidR="00FD67D8">
        <w:fldChar w:fldCharType="end"/>
      </w:r>
      <w:r w:rsidR="00FD67D8">
        <w:t>-</w:t>
      </w:r>
      <w:r w:rsidR="00FD67D8">
        <w:fldChar w:fldCharType="begin"/>
      </w:r>
      <w:r w:rsidR="00FD67D8">
        <w:instrText xml:space="preserve"> REF _Ref1173206 \r \h </w:instrText>
      </w:r>
      <w:r w:rsidR="00FD67D8">
        <w:fldChar w:fldCharType="separate"/>
      </w:r>
      <w:r w:rsidR="00FD67D8">
        <w:t>[12]</w:t>
      </w:r>
      <w:r w:rsidR="00FD67D8">
        <w:fldChar w:fldCharType="end"/>
      </w:r>
      <w:r w:rsidR="0075650A" w:rsidRPr="00924B41">
        <w:t>.</w:t>
      </w:r>
    </w:p>
    <w:p w14:paraId="2C53DE29" w14:textId="2BC8099F" w:rsidR="001F07D7" w:rsidRDefault="006D4373" w:rsidP="00952FB1">
      <w:pPr>
        <w:pStyle w:val="3GPPH1"/>
      </w:pPr>
      <w:r>
        <w:t>Activation of Multiple Type-2 PUSCH Configurations</w:t>
      </w:r>
    </w:p>
    <w:p w14:paraId="71704393" w14:textId="492F72B5" w:rsidR="00E302E5" w:rsidRPr="00E302E5" w:rsidRDefault="00B33CC2" w:rsidP="00E302E5">
      <w:pPr>
        <w:jc w:val="both"/>
        <w:rPr>
          <w:sz w:val="22"/>
          <w:szCs w:val="22"/>
        </w:rPr>
      </w:pPr>
      <w:r>
        <w:rPr>
          <w:sz w:val="22"/>
          <w:szCs w:val="22"/>
        </w:rPr>
        <w:t xml:space="preserve">It was agreed to support multiple activated CG-PUSCH configurations. The main purpose is to serve traffic flow or multiple traffic flows with quasi-periodic arrival but heterogeneous packet sizes. For example, the period may be constant however the packet size may be alternating between several known sizes. Moreover, in NR the periodicity itself may not be constant, however due to low latency requirements it is still crucial to exploit configured grant mechanism avoiding SR and DCI grant overhead. </w:t>
      </w:r>
      <w:r w:rsidR="006D4373">
        <w:rPr>
          <w:sz w:val="22"/>
          <w:szCs w:val="22"/>
        </w:rPr>
        <w:t>I</w:t>
      </w:r>
      <w:r>
        <w:rPr>
          <w:sz w:val="22"/>
          <w:szCs w:val="22"/>
        </w:rPr>
        <w:t xml:space="preserve">n general all the parameters of configurations including offset, periodicity, MCS, TDRA, FDRA, </w:t>
      </w:r>
      <w:r w:rsidR="00D612EE">
        <w:rPr>
          <w:sz w:val="22"/>
          <w:szCs w:val="22"/>
        </w:rPr>
        <w:t xml:space="preserve">etc. </w:t>
      </w:r>
      <w:r>
        <w:rPr>
          <w:sz w:val="22"/>
          <w:szCs w:val="22"/>
        </w:rPr>
        <w:t>may need to be different to achieve scheduling flexibility.</w:t>
      </w:r>
    </w:p>
    <w:p w14:paraId="4EBC9512" w14:textId="77777777" w:rsidR="00E302E5" w:rsidRPr="00E302E5" w:rsidRDefault="00E302E5" w:rsidP="00E302E5">
      <w:pPr>
        <w:jc w:val="both"/>
        <w:rPr>
          <w:sz w:val="22"/>
          <w:szCs w:val="22"/>
        </w:rPr>
      </w:pPr>
      <w:r w:rsidRPr="00E302E5">
        <w:rPr>
          <w:sz w:val="22"/>
          <w:szCs w:val="22"/>
        </w:rPr>
        <w:t>The described benefits come at expense of allocating to a UE more frequency or spatial (i.e. orthogonal DMRS) resources. It is further up to gNB how to manage the available resources between UEs and their spectrum demands depending also on gNB processing capabilities.</w:t>
      </w:r>
    </w:p>
    <w:p w14:paraId="1A0CE8CB" w14:textId="5962CB50" w:rsidR="007A0A23" w:rsidRDefault="009A0678" w:rsidP="006D4373">
      <w:pPr>
        <w:jc w:val="both"/>
        <w:rPr>
          <w:sz w:val="22"/>
          <w:szCs w:val="22"/>
        </w:rPr>
      </w:pPr>
      <w:r>
        <w:rPr>
          <w:sz w:val="22"/>
          <w:szCs w:val="22"/>
        </w:rPr>
        <w:t xml:space="preserve">It should be stressed that most of the issues with multiple configurations </w:t>
      </w:r>
      <w:r w:rsidR="00FD67D8">
        <w:rPr>
          <w:sz w:val="22"/>
          <w:szCs w:val="22"/>
        </w:rPr>
        <w:t>are</w:t>
      </w:r>
      <w:r>
        <w:rPr>
          <w:sz w:val="22"/>
          <w:szCs w:val="22"/>
        </w:rPr>
        <w:t xml:space="preserve"> in RAN2 domain. There are however a fe</w:t>
      </w:r>
      <w:r w:rsidR="00FD67D8">
        <w:rPr>
          <w:sz w:val="22"/>
          <w:szCs w:val="22"/>
        </w:rPr>
        <w:t>w aspects which require</w:t>
      </w:r>
      <w:r>
        <w:rPr>
          <w:sz w:val="22"/>
          <w:szCs w:val="22"/>
        </w:rPr>
        <w:t xml:space="preserve"> RAN1 consideration:</w:t>
      </w:r>
    </w:p>
    <w:p w14:paraId="0BD49F15" w14:textId="142324C9" w:rsidR="007A0A23" w:rsidRDefault="009764AA" w:rsidP="006D4373">
      <w:pPr>
        <w:numPr>
          <w:ilvl w:val="0"/>
          <w:numId w:val="14"/>
        </w:numPr>
        <w:jc w:val="both"/>
        <w:rPr>
          <w:sz w:val="22"/>
          <w:szCs w:val="22"/>
        </w:rPr>
      </w:pPr>
      <w:r>
        <w:rPr>
          <w:sz w:val="22"/>
          <w:szCs w:val="22"/>
        </w:rPr>
        <w:t xml:space="preserve">First, it is assumed that each configuration has to be activated/deactivated separately (except </w:t>
      </w:r>
      <w:r w:rsidR="00E84CB0">
        <w:rPr>
          <w:sz w:val="22"/>
          <w:szCs w:val="22"/>
        </w:rPr>
        <w:t xml:space="preserve">deactivation </w:t>
      </w:r>
      <w:r>
        <w:rPr>
          <w:sz w:val="22"/>
          <w:szCs w:val="22"/>
        </w:rPr>
        <w:t>cases when all configs are stopped due to other procedures such as BWP switching etc.). It allows to reuse the Rel.15 procedures for configured grant</w:t>
      </w:r>
      <w:r w:rsidR="00A63342">
        <w:rPr>
          <w:sz w:val="22"/>
          <w:szCs w:val="22"/>
        </w:rPr>
        <w:t xml:space="preserve"> as much as possible. Moreover, if single DCI is used to activate more than one configuration, it needs to carry multiple transmission parameter sets and also to provide more than one time reference.</w:t>
      </w:r>
    </w:p>
    <w:p w14:paraId="0685F744" w14:textId="061787A8" w:rsidR="00E302E5" w:rsidRPr="001B60B7" w:rsidRDefault="007A0A23" w:rsidP="00E302E5">
      <w:pPr>
        <w:numPr>
          <w:ilvl w:val="0"/>
          <w:numId w:val="14"/>
        </w:numPr>
        <w:jc w:val="both"/>
        <w:rPr>
          <w:sz w:val="22"/>
          <w:szCs w:val="22"/>
        </w:rPr>
      </w:pPr>
      <w:r>
        <w:rPr>
          <w:sz w:val="22"/>
          <w:szCs w:val="22"/>
        </w:rPr>
        <w:t>Second, under the assumption of single DCI per configuration</w:t>
      </w:r>
      <w:r w:rsidR="00E302E5" w:rsidRPr="00E302E5">
        <w:rPr>
          <w:sz w:val="22"/>
          <w:szCs w:val="22"/>
        </w:rPr>
        <w:t>, the problem of how to identify the different configurations using the same DCI format</w:t>
      </w:r>
      <w:r>
        <w:rPr>
          <w:sz w:val="22"/>
          <w:szCs w:val="22"/>
        </w:rPr>
        <w:t xml:space="preserve"> needs to be solved</w:t>
      </w:r>
      <w:r w:rsidR="00E302E5" w:rsidRPr="00E302E5">
        <w:rPr>
          <w:sz w:val="22"/>
          <w:szCs w:val="22"/>
        </w:rPr>
        <w:t>. Clearly, introducing multiple RNTIs would lead to increased FAR which may become a bottleneck. In that case, some fields which are not used for activation, such as HARQ ID may be utilized.</w:t>
      </w:r>
    </w:p>
    <w:p w14:paraId="2E64C85E" w14:textId="77777777" w:rsidR="00E302E5" w:rsidRDefault="00E302E5" w:rsidP="00A06E66">
      <w:pPr>
        <w:pStyle w:val="3GPPText"/>
        <w:numPr>
          <w:ilvl w:val="0"/>
          <w:numId w:val="10"/>
        </w:numPr>
      </w:pPr>
    </w:p>
    <w:p w14:paraId="4D513FA1" w14:textId="7302406A" w:rsidR="00E17B52" w:rsidRDefault="00E17B52" w:rsidP="00E302E5">
      <w:pPr>
        <w:pStyle w:val="3GPPAgreements"/>
        <w:rPr>
          <w:b/>
        </w:rPr>
      </w:pPr>
      <w:r>
        <w:rPr>
          <w:b/>
        </w:rPr>
        <w:t>For type 2 configured grant PUSCH, activation and deactivation</w:t>
      </w:r>
      <w:r w:rsidR="0076581B">
        <w:rPr>
          <w:b/>
        </w:rPr>
        <w:t xml:space="preserve"> DCI is sent for each configuration separately</w:t>
      </w:r>
    </w:p>
    <w:p w14:paraId="5C6BB13C" w14:textId="77777777" w:rsidR="00E302E5" w:rsidRPr="00E302E5" w:rsidRDefault="00E302E5" w:rsidP="00E302E5">
      <w:pPr>
        <w:jc w:val="both"/>
        <w:rPr>
          <w:i/>
          <w:lang w:val="en-US"/>
        </w:rPr>
      </w:pPr>
    </w:p>
    <w:p w14:paraId="1FBFF5C4" w14:textId="3F162BB0" w:rsidR="00C52973" w:rsidRDefault="006D4373" w:rsidP="00C52973">
      <w:pPr>
        <w:pStyle w:val="3GPPH1"/>
      </w:pPr>
      <w:r>
        <w:lastRenderedPageBreak/>
        <w:t>Support of Broadcast/Groupcast in DL</w:t>
      </w:r>
    </w:p>
    <w:p w14:paraId="712682D8" w14:textId="7ABED424" w:rsidR="00EF5069" w:rsidRDefault="00BC10E9" w:rsidP="00EF5069">
      <w:pPr>
        <w:jc w:val="both"/>
        <w:rPr>
          <w:sz w:val="22"/>
          <w:szCs w:val="22"/>
          <w:lang w:val="en-US"/>
        </w:rPr>
      </w:pPr>
      <w:r>
        <w:rPr>
          <w:sz w:val="22"/>
          <w:szCs w:val="22"/>
          <w:lang w:val="en-US"/>
        </w:rPr>
        <w:t xml:space="preserve">During Rel.14 V2X study, it was concluded by </w:t>
      </w:r>
      <w:r w:rsidR="001B60B7">
        <w:rPr>
          <w:sz w:val="22"/>
          <w:szCs w:val="22"/>
          <w:lang w:val="en-US"/>
        </w:rPr>
        <w:t xml:space="preserve">comprehensive </w:t>
      </w:r>
      <w:r>
        <w:rPr>
          <w:sz w:val="22"/>
          <w:szCs w:val="22"/>
          <w:lang w:val="en-US"/>
        </w:rPr>
        <w:t>evaluation</w:t>
      </w:r>
      <w:r w:rsidR="001B60B7">
        <w:rPr>
          <w:sz w:val="22"/>
          <w:szCs w:val="22"/>
          <w:lang w:val="en-US"/>
        </w:rPr>
        <w:t>s</w:t>
      </w:r>
      <w:r>
        <w:rPr>
          <w:sz w:val="22"/>
          <w:szCs w:val="22"/>
          <w:lang w:val="en-US"/>
        </w:rPr>
        <w:t xml:space="preserve"> that broadcast/groupcast communication in DL together with local forwarding techniques is able to provide at least basic safety V2X services. For advanced V2X use cases, it is expected that broadcast/groupcast DL communication may provide at least the same level of benefits especially taking into account the ability of NR </w:t>
      </w:r>
      <w:proofErr w:type="spellStart"/>
      <w:r>
        <w:rPr>
          <w:sz w:val="22"/>
          <w:szCs w:val="22"/>
          <w:lang w:val="en-US"/>
        </w:rPr>
        <w:t>Uu</w:t>
      </w:r>
      <w:proofErr w:type="spellEnd"/>
      <w:r>
        <w:rPr>
          <w:sz w:val="22"/>
          <w:szCs w:val="22"/>
          <w:lang w:val="en-US"/>
        </w:rPr>
        <w:t xml:space="preserve"> interface to handle much more stringent reliability and latency requirements.</w:t>
      </w:r>
    </w:p>
    <w:p w14:paraId="5C76723B" w14:textId="2CCF2AAB" w:rsidR="00BC10E9" w:rsidRDefault="00BC10E9" w:rsidP="00EF5069">
      <w:pPr>
        <w:jc w:val="both"/>
        <w:rPr>
          <w:sz w:val="22"/>
          <w:szCs w:val="22"/>
          <w:lang w:val="en-US"/>
        </w:rPr>
      </w:pPr>
      <w:r>
        <w:rPr>
          <w:sz w:val="22"/>
          <w:szCs w:val="22"/>
          <w:lang w:val="en-US"/>
        </w:rPr>
        <w:t>In the same time, it is a given, that broadcast/groupcast DL communication requires work in multiple WG</w:t>
      </w:r>
      <w:r w:rsidR="001B60B7">
        <w:rPr>
          <w:sz w:val="22"/>
          <w:szCs w:val="22"/>
          <w:lang w:val="en-US"/>
        </w:rPr>
        <w:t>s</w:t>
      </w:r>
      <w:r>
        <w:rPr>
          <w:sz w:val="22"/>
          <w:szCs w:val="22"/>
          <w:lang w:val="en-US"/>
        </w:rPr>
        <w:t xml:space="preserve"> and </w:t>
      </w:r>
      <w:r w:rsidR="001B60B7">
        <w:rPr>
          <w:sz w:val="22"/>
          <w:szCs w:val="22"/>
          <w:lang w:val="en-US"/>
        </w:rPr>
        <w:t xml:space="preserve">network architecture </w:t>
      </w:r>
      <w:r>
        <w:rPr>
          <w:sz w:val="22"/>
          <w:szCs w:val="22"/>
          <w:lang w:val="en-US"/>
        </w:rPr>
        <w:t>levels. Introducing only physical layers enhancements may not provide fully compliant operation requested by advanced V2X services. Therefore it is expected that NR V2X SI may only draw conclusion on potentially obvious benefits of introducing such enhancements, however the scope and inter-group dependency level requires a separate SI/WI to design a feature supporting MBMS/SC-PTM services.</w:t>
      </w:r>
    </w:p>
    <w:p w14:paraId="6AFCF9D1" w14:textId="6C59C5A4" w:rsidR="001B60B7" w:rsidRPr="001B60B7" w:rsidRDefault="001B60B7" w:rsidP="00EF5069">
      <w:pPr>
        <w:jc w:val="both"/>
        <w:rPr>
          <w:b/>
          <w:sz w:val="22"/>
          <w:szCs w:val="22"/>
          <w:lang w:val="en-US"/>
        </w:rPr>
      </w:pPr>
      <w:r w:rsidRPr="001B60B7">
        <w:rPr>
          <w:b/>
          <w:sz w:val="22"/>
          <w:szCs w:val="22"/>
          <w:lang w:val="en-US"/>
        </w:rPr>
        <w:t>Observation 1:</w:t>
      </w:r>
    </w:p>
    <w:p w14:paraId="4B001040" w14:textId="2FAC416F" w:rsidR="001B60B7" w:rsidRDefault="001B60B7" w:rsidP="001B60B7">
      <w:pPr>
        <w:pStyle w:val="3GPPAgreements"/>
        <w:rPr>
          <w:b/>
        </w:rPr>
      </w:pPr>
      <w:r w:rsidRPr="001B60B7">
        <w:rPr>
          <w:b/>
        </w:rPr>
        <w:t>NR V2X services may benefit from support of MBMS/SC-PTM features in NR</w:t>
      </w:r>
    </w:p>
    <w:p w14:paraId="1EFA5D83" w14:textId="1095A17A" w:rsidR="001B60B7" w:rsidRDefault="001B60B7" w:rsidP="001B60B7">
      <w:pPr>
        <w:pStyle w:val="3GPPAgreements"/>
        <w:rPr>
          <w:b/>
        </w:rPr>
      </w:pPr>
      <w:r>
        <w:rPr>
          <w:b/>
        </w:rPr>
        <w:t>Scope and inter-WG dependency level demands a separate SI/WI on MBMS/SC-PTM</w:t>
      </w:r>
    </w:p>
    <w:p w14:paraId="213124DF" w14:textId="77777777" w:rsidR="000222AB" w:rsidRPr="00EF5069" w:rsidRDefault="000222AB" w:rsidP="000222AB">
      <w:pPr>
        <w:pStyle w:val="3GPPText"/>
      </w:pPr>
    </w:p>
    <w:p w14:paraId="77BC98E7" w14:textId="77777777" w:rsidR="00356687" w:rsidRDefault="00356687" w:rsidP="00C84A44">
      <w:pPr>
        <w:pStyle w:val="3GPPH1"/>
        <w:tabs>
          <w:tab w:val="clear" w:pos="432"/>
          <w:tab w:val="num" w:pos="426"/>
        </w:tabs>
      </w:pPr>
      <w:r>
        <w:t>Conclusions</w:t>
      </w:r>
    </w:p>
    <w:p w14:paraId="1942CFC1" w14:textId="0B4F48BF" w:rsidR="00625B54" w:rsidRDefault="00F7704A" w:rsidP="00F1389E">
      <w:pPr>
        <w:pStyle w:val="3GPPText"/>
      </w:pPr>
      <w:r w:rsidRPr="00F1389E">
        <w:t>Based on the discussion and analysis, the following proposals are made:</w:t>
      </w:r>
    </w:p>
    <w:p w14:paraId="563D7FFD" w14:textId="77777777" w:rsidR="00FD67D8" w:rsidRPr="001B60B7" w:rsidRDefault="00FD67D8" w:rsidP="00FD67D8">
      <w:pPr>
        <w:jc w:val="both"/>
        <w:rPr>
          <w:b/>
          <w:sz w:val="22"/>
          <w:szCs w:val="22"/>
          <w:lang w:val="en-US"/>
        </w:rPr>
      </w:pPr>
      <w:r w:rsidRPr="001B60B7">
        <w:rPr>
          <w:b/>
          <w:sz w:val="22"/>
          <w:szCs w:val="22"/>
          <w:lang w:val="en-US"/>
        </w:rPr>
        <w:t>Observation 1:</w:t>
      </w:r>
    </w:p>
    <w:p w14:paraId="1063E3D5" w14:textId="77777777" w:rsidR="00FD67D8" w:rsidRDefault="00FD67D8" w:rsidP="00FD67D8">
      <w:pPr>
        <w:pStyle w:val="3GPPAgreements"/>
        <w:rPr>
          <w:b/>
        </w:rPr>
      </w:pPr>
      <w:r w:rsidRPr="001B60B7">
        <w:rPr>
          <w:b/>
        </w:rPr>
        <w:t>NR V2X services may benefit from support of MBMS/SC-PTM features in NR</w:t>
      </w:r>
    </w:p>
    <w:p w14:paraId="63280A77" w14:textId="77777777" w:rsidR="00FD67D8" w:rsidRDefault="00FD67D8" w:rsidP="00FD67D8">
      <w:pPr>
        <w:pStyle w:val="3GPPAgreements"/>
        <w:rPr>
          <w:b/>
        </w:rPr>
      </w:pPr>
      <w:r>
        <w:rPr>
          <w:b/>
        </w:rPr>
        <w:t>Scope and inter-WG dependency level demands a separate SI/WI on MBMS/SC-PTM</w:t>
      </w:r>
    </w:p>
    <w:p w14:paraId="2038ADAB" w14:textId="77777777" w:rsidR="00FD67D8" w:rsidRDefault="00FD67D8" w:rsidP="00FD67D8">
      <w:pPr>
        <w:pStyle w:val="3GPPText"/>
        <w:rPr>
          <w:b/>
        </w:rPr>
      </w:pPr>
    </w:p>
    <w:p w14:paraId="693A220E" w14:textId="4A2FA0CD" w:rsidR="00FD67D8" w:rsidRDefault="00FD67D8" w:rsidP="00FD67D8">
      <w:pPr>
        <w:pStyle w:val="3GPPText"/>
      </w:pPr>
      <w:r>
        <w:rPr>
          <w:b/>
        </w:rPr>
        <w:t>Proposal 1:</w:t>
      </w:r>
    </w:p>
    <w:p w14:paraId="76396367" w14:textId="77777777" w:rsidR="00FD67D8" w:rsidRDefault="00FD67D8" w:rsidP="00FD67D8">
      <w:pPr>
        <w:pStyle w:val="3GPPAgreements"/>
        <w:rPr>
          <w:b/>
        </w:rPr>
      </w:pPr>
      <w:r>
        <w:rPr>
          <w:b/>
        </w:rPr>
        <w:t>For type 2 configured gr</w:t>
      </w:r>
      <w:bookmarkStart w:id="1" w:name="_GoBack"/>
      <w:bookmarkEnd w:id="1"/>
      <w:r>
        <w:rPr>
          <w:b/>
        </w:rPr>
        <w:t>ant PUSCH, activation and deactivation DCI is sent for each configuration separately</w:t>
      </w:r>
    </w:p>
    <w:p w14:paraId="329CB50C" w14:textId="77777777" w:rsidR="009401A4" w:rsidRPr="00AB2DA9" w:rsidRDefault="009401A4" w:rsidP="00E673D8">
      <w:pPr>
        <w:pStyle w:val="3GPPH1"/>
        <w:rPr>
          <w:lang w:val="en-US"/>
        </w:rPr>
      </w:pPr>
      <w:r w:rsidRPr="00AB2DA9">
        <w:rPr>
          <w:lang w:val="en-US"/>
        </w:rPr>
        <w:t>References</w:t>
      </w:r>
    </w:p>
    <w:p w14:paraId="40DA6B65" w14:textId="77777777" w:rsidR="001917CD" w:rsidRPr="000222AB" w:rsidRDefault="001917CD" w:rsidP="00924B4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 w:name="_Ref520282793"/>
      <w:bookmarkStart w:id="3" w:name="_Ref505694604"/>
      <w:bookmarkStart w:id="4" w:name="_Ref471775016"/>
      <w:r w:rsidRPr="000222AB">
        <w:rPr>
          <w:rFonts w:ascii="Times New Roman" w:eastAsia="SimSun" w:hAnsi="Times New Roman"/>
          <w:szCs w:val="20"/>
        </w:rPr>
        <w:t>RP-</w:t>
      </w:r>
      <w:r w:rsidR="00622D23" w:rsidRPr="000222AB">
        <w:rPr>
          <w:rFonts w:ascii="Times New Roman" w:eastAsia="SimSun" w:hAnsi="Times New Roman"/>
          <w:szCs w:val="20"/>
        </w:rPr>
        <w:t>181480</w:t>
      </w:r>
      <w:r w:rsidRPr="000222AB">
        <w:rPr>
          <w:rFonts w:ascii="Times New Roman" w:eastAsia="SimSun" w:hAnsi="Times New Roman"/>
          <w:szCs w:val="20"/>
        </w:rPr>
        <w:t>, “New SID: Study on NR V2X”, Vodafone, La Jolla, USA, June 11th -14th, 2018</w:t>
      </w:r>
      <w:bookmarkEnd w:id="2"/>
    </w:p>
    <w:p w14:paraId="3E530EAF" w14:textId="705215C2" w:rsidR="00C13005" w:rsidRPr="000222AB" w:rsidRDefault="00C13005" w:rsidP="00924B4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525929631"/>
      <w:r w:rsidRPr="000222AB">
        <w:rPr>
          <w:rFonts w:ascii="Times New Roman" w:eastAsia="SimSun" w:hAnsi="Times New Roman"/>
          <w:szCs w:val="20"/>
          <w:lang w:val="en-GB"/>
        </w:rPr>
        <w:t>RP-182075 , “Handling of overlapped Rel-16 SI/WIs w.r.t. URLLC”, Gold Coast, Australia, September 2018</w:t>
      </w:r>
      <w:bookmarkEnd w:id="5"/>
    </w:p>
    <w:p w14:paraId="1656D9F6" w14:textId="77777777" w:rsidR="00045C75" w:rsidRPr="000222AB" w:rsidRDefault="00045C75" w:rsidP="00924B4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520463189"/>
      <w:r w:rsidRPr="000222AB">
        <w:rPr>
          <w:rFonts w:ascii="Times New Roman" w:eastAsia="SimSun" w:hAnsi="Times New Roman"/>
          <w:szCs w:val="20"/>
        </w:rPr>
        <w:t>TS 23.285 “</w:t>
      </w:r>
      <w:r w:rsidRPr="000222AB">
        <w:rPr>
          <w:rFonts w:ascii="Times New Roman" w:eastAsia="SimSun" w:hAnsi="Times New Roman" w:hint="eastAsia"/>
          <w:szCs w:val="20"/>
        </w:rPr>
        <w:t>A</w:t>
      </w:r>
      <w:r w:rsidRPr="000222AB">
        <w:rPr>
          <w:rFonts w:ascii="Times New Roman" w:eastAsia="SimSun" w:hAnsi="Times New Roman"/>
          <w:szCs w:val="20"/>
        </w:rPr>
        <w:t>rchitecture enhancements for V2X services”</w:t>
      </w:r>
      <w:r w:rsidR="007B7ADA" w:rsidRPr="000222AB">
        <w:rPr>
          <w:rFonts w:ascii="Times New Roman" w:eastAsia="SimSun" w:hAnsi="Times New Roman"/>
          <w:szCs w:val="20"/>
        </w:rPr>
        <w:t xml:space="preserve">, </w:t>
      </w:r>
      <w:r w:rsidRPr="000222AB">
        <w:rPr>
          <w:rFonts w:ascii="Times New Roman" w:eastAsia="SimSun" w:hAnsi="Times New Roman"/>
          <w:szCs w:val="20"/>
        </w:rPr>
        <w:t>V15.1.0</w:t>
      </w:r>
      <w:bookmarkEnd w:id="6"/>
    </w:p>
    <w:p w14:paraId="1CF464CC" w14:textId="77777777" w:rsidR="007B7ADA" w:rsidRPr="000222AB" w:rsidRDefault="007B7ADA" w:rsidP="00924B4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520463379"/>
      <w:r w:rsidRPr="000222AB">
        <w:rPr>
          <w:rFonts w:ascii="Times New Roman" w:eastAsia="SimSun" w:hAnsi="Times New Roman"/>
          <w:szCs w:val="20"/>
        </w:rPr>
        <w:t>TS 23.501 “System Architecture for the 5G System; Stage 2”, V15.2.0</w:t>
      </w:r>
      <w:bookmarkEnd w:id="7"/>
    </w:p>
    <w:p w14:paraId="66CBA2F3" w14:textId="77777777" w:rsidR="007B7ADA" w:rsidRPr="000222AB" w:rsidRDefault="00F8746E" w:rsidP="00924B4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0463702"/>
      <w:r w:rsidRPr="000222AB">
        <w:rPr>
          <w:rFonts w:ascii="Times New Roman" w:eastAsia="SimSun" w:hAnsi="Times New Roman"/>
          <w:szCs w:val="20"/>
        </w:rPr>
        <w:t>3GPP TS 22.186, “Service requirements for enhanced V2X scenarios”</w:t>
      </w:r>
      <w:bookmarkEnd w:id="3"/>
      <w:r w:rsidR="005A569F" w:rsidRPr="000222AB">
        <w:rPr>
          <w:rFonts w:ascii="Times New Roman" w:eastAsia="SimSun" w:hAnsi="Times New Roman"/>
          <w:szCs w:val="20"/>
        </w:rPr>
        <w:t>, 15.</w:t>
      </w:r>
      <w:r w:rsidR="007B7ADA" w:rsidRPr="000222AB">
        <w:rPr>
          <w:rFonts w:ascii="Times New Roman" w:eastAsia="SimSun" w:hAnsi="Times New Roman"/>
          <w:szCs w:val="20"/>
        </w:rPr>
        <w:t>3</w:t>
      </w:r>
      <w:r w:rsidR="005A569F" w:rsidRPr="000222AB">
        <w:rPr>
          <w:rFonts w:ascii="Times New Roman" w:eastAsia="SimSun" w:hAnsi="Times New Roman"/>
          <w:szCs w:val="20"/>
        </w:rPr>
        <w:t>.0</w:t>
      </w:r>
      <w:bookmarkStart w:id="9" w:name="_Ref505694607"/>
      <w:bookmarkEnd w:id="8"/>
    </w:p>
    <w:p w14:paraId="53392714" w14:textId="77777777" w:rsidR="00FD67D8" w:rsidRPr="00FD67D8" w:rsidRDefault="00FD67D8" w:rsidP="00FD67D8">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1173204"/>
      <w:bookmarkEnd w:id="4"/>
      <w:bookmarkEnd w:id="9"/>
      <w:r w:rsidRPr="00FD67D8">
        <w:rPr>
          <w:rFonts w:ascii="Times New Roman" w:eastAsia="SimSun" w:hAnsi="Times New Roman"/>
          <w:szCs w:val="20"/>
        </w:rPr>
        <w:t>R1-1902481, “Sidelink physical structure for NR V2X communication”, Intel Corporation, Greece, Athens, February, 2019</w:t>
      </w:r>
      <w:bookmarkEnd w:id="10"/>
    </w:p>
    <w:p w14:paraId="529D1377" w14:textId="77777777" w:rsidR="00FD67D8" w:rsidRPr="00FD67D8" w:rsidRDefault="00FD67D8" w:rsidP="00FD67D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FD67D8">
        <w:rPr>
          <w:rFonts w:ascii="Times New Roman" w:eastAsia="SimSun" w:hAnsi="Times New Roman"/>
          <w:szCs w:val="20"/>
        </w:rPr>
        <w:t>R1-1902482, “Physical layer procedures for NR V2X sidelink design”, Intel Corporation, Greece, Athens, February, 2019</w:t>
      </w:r>
    </w:p>
    <w:p w14:paraId="6F0096F7" w14:textId="77777777" w:rsidR="00FD67D8" w:rsidRPr="00FD67D8" w:rsidRDefault="00FD67D8" w:rsidP="00FD67D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FD67D8">
        <w:rPr>
          <w:rFonts w:ascii="Times New Roman" w:eastAsia="SimSun" w:hAnsi="Times New Roman"/>
          <w:szCs w:val="20"/>
        </w:rPr>
        <w:t>R1-1902483, “Synchronization for NR V2X sidelink communication”, Intel Corporation, Greece, Athens, February, 2019</w:t>
      </w:r>
    </w:p>
    <w:p w14:paraId="04AC80AA" w14:textId="77777777" w:rsidR="00FD67D8" w:rsidRPr="00FD67D8" w:rsidRDefault="00FD67D8" w:rsidP="00FD67D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FD67D8">
        <w:rPr>
          <w:rFonts w:ascii="Times New Roman" w:eastAsia="SimSun" w:hAnsi="Times New Roman"/>
          <w:szCs w:val="20"/>
        </w:rPr>
        <w:t>R1-1902484, “Resource allocation schemes for NR V2X sidelink communication”, Intel Corporation, Greece, Athens, February, 2019</w:t>
      </w:r>
    </w:p>
    <w:p w14:paraId="26DDBC21" w14:textId="77777777" w:rsidR="00FD67D8" w:rsidRPr="00FD67D8" w:rsidRDefault="00FD67D8" w:rsidP="00FD67D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FD67D8">
        <w:rPr>
          <w:rFonts w:ascii="Times New Roman" w:eastAsia="SimSun" w:hAnsi="Times New Roman"/>
          <w:szCs w:val="20"/>
        </w:rPr>
        <w:t>R1-1902486, “</w:t>
      </w:r>
      <w:proofErr w:type="spellStart"/>
      <w:r w:rsidRPr="00FD67D8">
        <w:rPr>
          <w:rFonts w:ascii="Times New Roman" w:eastAsia="SimSun" w:hAnsi="Times New Roman"/>
          <w:szCs w:val="20"/>
        </w:rPr>
        <w:t>Uu</w:t>
      </w:r>
      <w:proofErr w:type="spellEnd"/>
      <w:r w:rsidRPr="00FD67D8">
        <w:rPr>
          <w:rFonts w:ascii="Times New Roman" w:eastAsia="SimSun" w:hAnsi="Times New Roman"/>
          <w:szCs w:val="20"/>
        </w:rPr>
        <w:t xml:space="preserve">-based sidelink resource allocation for V2X use cases”, Intel Corporation, Greece, Athens, </w:t>
      </w:r>
      <w:r w:rsidRPr="00FD67D8">
        <w:rPr>
          <w:rFonts w:ascii="Times New Roman" w:eastAsia="SimSun" w:hAnsi="Times New Roman"/>
          <w:szCs w:val="20"/>
        </w:rPr>
        <w:lastRenderedPageBreak/>
        <w:t>February, 2019</w:t>
      </w:r>
    </w:p>
    <w:p w14:paraId="2386FD9B" w14:textId="77777777" w:rsidR="00FD67D8" w:rsidRPr="00FD67D8" w:rsidRDefault="00FD67D8" w:rsidP="00FD67D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FD67D8">
        <w:rPr>
          <w:rFonts w:ascii="Times New Roman" w:eastAsia="SimSun" w:hAnsi="Times New Roman"/>
          <w:szCs w:val="20"/>
        </w:rPr>
        <w:t>R1-1902487, “QoS and congestion control for NR V2X sidelink communication”, Intel Corporation, Greece, Athens, February, 2019</w:t>
      </w:r>
    </w:p>
    <w:p w14:paraId="41A13549" w14:textId="2D1E4A1D" w:rsidR="00695D03" w:rsidRPr="00FD67D8" w:rsidRDefault="00FD67D8" w:rsidP="00FD67D8">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1173206"/>
      <w:r w:rsidRPr="00FD67D8">
        <w:rPr>
          <w:rFonts w:ascii="Times New Roman" w:eastAsia="SimSun" w:hAnsi="Times New Roman"/>
          <w:szCs w:val="20"/>
        </w:rPr>
        <w:t>R1-1902488, “In-device coexistence for NR V2X sidelink communication”, Intel Corporation, Greece, Athens, February, 2019</w:t>
      </w:r>
      <w:bookmarkEnd w:id="11"/>
    </w:p>
    <w:sectPr w:rsidR="00695D03" w:rsidRPr="00FD67D8"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60A2D" w14:textId="77777777" w:rsidR="00203BCD" w:rsidRDefault="00203BCD">
      <w:r>
        <w:separator/>
      </w:r>
    </w:p>
  </w:endnote>
  <w:endnote w:type="continuationSeparator" w:id="0">
    <w:p w14:paraId="691EE4AA" w14:textId="77777777" w:rsidR="00203BCD" w:rsidRDefault="0020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557957" w:rsidRDefault="0055795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557957" w:rsidRDefault="0055795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557957" w:rsidRPr="00270202" w:rsidRDefault="0055795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D67D8">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D67D8">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2B81E" w14:textId="77777777" w:rsidR="00203BCD" w:rsidRDefault="00203BCD">
      <w:r>
        <w:separator/>
      </w:r>
    </w:p>
  </w:footnote>
  <w:footnote w:type="continuationSeparator" w:id="0">
    <w:p w14:paraId="1B6B65DA" w14:textId="77777777" w:rsidR="00203BCD" w:rsidRDefault="00203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557957" w:rsidRDefault="0055795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A0074F"/>
    <w:multiLevelType w:val="multilevel"/>
    <w:tmpl w:val="D8DC254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250011"/>
    <w:multiLevelType w:val="multilevel"/>
    <w:tmpl w:val="602A8A6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EAE29AD4"/>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5343F7"/>
    <w:multiLevelType w:val="multilevel"/>
    <w:tmpl w:val="B874B9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7050C9"/>
    <w:multiLevelType w:val="multilevel"/>
    <w:tmpl w:val="D8DC254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5EE9509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60A55D36"/>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60AC6C7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6335239E"/>
    <w:multiLevelType w:val="hybridMultilevel"/>
    <w:tmpl w:val="F5EAB8AA"/>
    <w:lvl w:ilvl="0" w:tplc="1F5EAB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94746"/>
    <w:multiLevelType w:val="multilevel"/>
    <w:tmpl w:val="FD22C09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8"/>
  </w:num>
  <w:num w:numId="2">
    <w:abstractNumId w:val="7"/>
  </w:num>
  <w:num w:numId="3">
    <w:abstractNumId w:val="2"/>
  </w:num>
  <w:num w:numId="4">
    <w:abstractNumId w:val="9"/>
  </w:num>
  <w:num w:numId="5">
    <w:abstractNumId w:val="10"/>
  </w:num>
  <w:num w:numId="6">
    <w:abstractNumId w:val="4"/>
  </w:num>
  <w:num w:numId="7">
    <w:abstractNumId w:val="3"/>
  </w:num>
  <w:num w:numId="8">
    <w:abstractNumId w:val="11"/>
  </w:num>
  <w:num w:numId="9">
    <w:abstractNumId w:val="6"/>
  </w:num>
  <w:num w:numId="10">
    <w:abstractNumId w:val="19"/>
  </w:num>
  <w:num w:numId="11">
    <w:abstractNumId w:val="15"/>
  </w:num>
  <w:num w:numId="12">
    <w:abstractNumId w:val="13"/>
  </w:num>
  <w:num w:numId="13">
    <w:abstractNumId w:val="1"/>
  </w:num>
  <w:num w:numId="14">
    <w:abstractNumId w:val="18"/>
  </w:num>
  <w:num w:numId="15">
    <w:abstractNumId w:val="12"/>
  </w:num>
  <w:num w:numId="16">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5"/>
  </w:num>
  <w:num w:numId="19">
    <w:abstractNumId w:val="6"/>
  </w:num>
  <w:num w:numId="20">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AB"/>
    <w:rsid w:val="000222F7"/>
    <w:rsid w:val="000228C4"/>
    <w:rsid w:val="000238D3"/>
    <w:rsid w:val="00023A95"/>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22"/>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61"/>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0C"/>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646"/>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3F6F"/>
    <w:rsid w:val="0007408B"/>
    <w:rsid w:val="00074375"/>
    <w:rsid w:val="000743A0"/>
    <w:rsid w:val="000745C8"/>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D92"/>
    <w:rsid w:val="0009106D"/>
    <w:rsid w:val="00091199"/>
    <w:rsid w:val="00091385"/>
    <w:rsid w:val="00091714"/>
    <w:rsid w:val="00091A28"/>
    <w:rsid w:val="000921E3"/>
    <w:rsid w:val="00092301"/>
    <w:rsid w:val="00092334"/>
    <w:rsid w:val="0009253D"/>
    <w:rsid w:val="000929F1"/>
    <w:rsid w:val="00092FFB"/>
    <w:rsid w:val="00093063"/>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369"/>
    <w:rsid w:val="000C550B"/>
    <w:rsid w:val="000C5759"/>
    <w:rsid w:val="000C5E7D"/>
    <w:rsid w:val="000C628A"/>
    <w:rsid w:val="000C673C"/>
    <w:rsid w:val="000C69F8"/>
    <w:rsid w:val="000C71D9"/>
    <w:rsid w:val="000C723D"/>
    <w:rsid w:val="000C727B"/>
    <w:rsid w:val="000C73F4"/>
    <w:rsid w:val="000C7590"/>
    <w:rsid w:val="000C7C3E"/>
    <w:rsid w:val="000D0379"/>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8B8"/>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67C"/>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A5A"/>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0E42"/>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6BF"/>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3ED"/>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505"/>
    <w:rsid w:val="001B3754"/>
    <w:rsid w:val="001B3B7B"/>
    <w:rsid w:val="001B412E"/>
    <w:rsid w:val="001B45CE"/>
    <w:rsid w:val="001B4A66"/>
    <w:rsid w:val="001B5332"/>
    <w:rsid w:val="001B53B3"/>
    <w:rsid w:val="001B54E9"/>
    <w:rsid w:val="001B57DF"/>
    <w:rsid w:val="001B5BAA"/>
    <w:rsid w:val="001B5F67"/>
    <w:rsid w:val="001B60B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417"/>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4A2"/>
    <w:rsid w:val="00201646"/>
    <w:rsid w:val="0020181B"/>
    <w:rsid w:val="00201C7E"/>
    <w:rsid w:val="00201D11"/>
    <w:rsid w:val="00201D85"/>
    <w:rsid w:val="00201E81"/>
    <w:rsid w:val="00202201"/>
    <w:rsid w:val="00202257"/>
    <w:rsid w:val="00202D2E"/>
    <w:rsid w:val="00203159"/>
    <w:rsid w:val="002031E9"/>
    <w:rsid w:val="002032D0"/>
    <w:rsid w:val="00203A6E"/>
    <w:rsid w:val="00203BCD"/>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9D7"/>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84C"/>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08C"/>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5B4"/>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6F85"/>
    <w:rsid w:val="002571C8"/>
    <w:rsid w:val="002572F1"/>
    <w:rsid w:val="0025774B"/>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2DD"/>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820"/>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2FB1"/>
    <w:rsid w:val="00293261"/>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2C1"/>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12"/>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5CB"/>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5FB0"/>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62A"/>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5CE5"/>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169"/>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1D16"/>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6D"/>
    <w:rsid w:val="003A1DD5"/>
    <w:rsid w:val="003A1EE4"/>
    <w:rsid w:val="003A1EF5"/>
    <w:rsid w:val="003A2019"/>
    <w:rsid w:val="003A29A0"/>
    <w:rsid w:val="003A2AAB"/>
    <w:rsid w:val="003A2D39"/>
    <w:rsid w:val="003A2FE7"/>
    <w:rsid w:val="003A371E"/>
    <w:rsid w:val="003A3868"/>
    <w:rsid w:val="003A3BD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0D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CB"/>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6FDF"/>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4E4"/>
    <w:rsid w:val="0041577E"/>
    <w:rsid w:val="004157F6"/>
    <w:rsid w:val="0041589E"/>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4CF"/>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7C5"/>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62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514"/>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336"/>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6A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AA"/>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B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5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AE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B6E"/>
    <w:rsid w:val="00532C9D"/>
    <w:rsid w:val="00532DBB"/>
    <w:rsid w:val="00533215"/>
    <w:rsid w:val="005334E4"/>
    <w:rsid w:val="00533632"/>
    <w:rsid w:val="00533662"/>
    <w:rsid w:val="005338BD"/>
    <w:rsid w:val="0053394F"/>
    <w:rsid w:val="00533D3B"/>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5B3C"/>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A3C"/>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4B0"/>
    <w:rsid w:val="0055771C"/>
    <w:rsid w:val="00557957"/>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3A2"/>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9B1"/>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257"/>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C34"/>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2B"/>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902"/>
    <w:rsid w:val="00606D0C"/>
    <w:rsid w:val="00607039"/>
    <w:rsid w:val="00607244"/>
    <w:rsid w:val="0060731A"/>
    <w:rsid w:val="006073CE"/>
    <w:rsid w:val="006074B1"/>
    <w:rsid w:val="00607543"/>
    <w:rsid w:val="006079D8"/>
    <w:rsid w:val="006079F5"/>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A"/>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84"/>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08"/>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BD"/>
    <w:rsid w:val="00634411"/>
    <w:rsid w:val="00634480"/>
    <w:rsid w:val="006347F5"/>
    <w:rsid w:val="00635210"/>
    <w:rsid w:val="006356FE"/>
    <w:rsid w:val="006357C8"/>
    <w:rsid w:val="00635E1A"/>
    <w:rsid w:val="00635EDC"/>
    <w:rsid w:val="00635F56"/>
    <w:rsid w:val="00636094"/>
    <w:rsid w:val="006366EE"/>
    <w:rsid w:val="0063681F"/>
    <w:rsid w:val="006369A7"/>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3F8"/>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509"/>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FB4"/>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1D77"/>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E43"/>
    <w:rsid w:val="006A7F27"/>
    <w:rsid w:val="006A7FDD"/>
    <w:rsid w:val="006B0489"/>
    <w:rsid w:val="006B04DC"/>
    <w:rsid w:val="006B0C66"/>
    <w:rsid w:val="006B0E3C"/>
    <w:rsid w:val="006B14F4"/>
    <w:rsid w:val="006B163E"/>
    <w:rsid w:val="006B166D"/>
    <w:rsid w:val="006B16EB"/>
    <w:rsid w:val="006B1778"/>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2F2"/>
    <w:rsid w:val="006D2627"/>
    <w:rsid w:val="006D2ABF"/>
    <w:rsid w:val="006D2B5D"/>
    <w:rsid w:val="006D31AF"/>
    <w:rsid w:val="006D31DD"/>
    <w:rsid w:val="006D353E"/>
    <w:rsid w:val="006D423B"/>
    <w:rsid w:val="006D431E"/>
    <w:rsid w:val="006D4373"/>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3DE2"/>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2D8A"/>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C0A"/>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B19"/>
    <w:rsid w:val="00716FC0"/>
    <w:rsid w:val="0071716F"/>
    <w:rsid w:val="00717267"/>
    <w:rsid w:val="007173A5"/>
    <w:rsid w:val="007178EE"/>
    <w:rsid w:val="00717A68"/>
    <w:rsid w:val="00717B0A"/>
    <w:rsid w:val="00720759"/>
    <w:rsid w:val="007208F9"/>
    <w:rsid w:val="00720BD4"/>
    <w:rsid w:val="00720F97"/>
    <w:rsid w:val="00721324"/>
    <w:rsid w:val="0072151E"/>
    <w:rsid w:val="007215A9"/>
    <w:rsid w:val="007218A9"/>
    <w:rsid w:val="0072190B"/>
    <w:rsid w:val="00721AC9"/>
    <w:rsid w:val="00721C28"/>
    <w:rsid w:val="00721E1D"/>
    <w:rsid w:val="00722B72"/>
    <w:rsid w:val="00722E38"/>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30"/>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0A"/>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81B"/>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714"/>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B52"/>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E6C"/>
    <w:rsid w:val="00796F91"/>
    <w:rsid w:val="0079727F"/>
    <w:rsid w:val="00797D3D"/>
    <w:rsid w:val="00797DAA"/>
    <w:rsid w:val="00797E00"/>
    <w:rsid w:val="00797FCF"/>
    <w:rsid w:val="007A0321"/>
    <w:rsid w:val="007A0506"/>
    <w:rsid w:val="007A0616"/>
    <w:rsid w:val="007A0983"/>
    <w:rsid w:val="007A099A"/>
    <w:rsid w:val="007A0A23"/>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4EDF"/>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7BF"/>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454"/>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A0"/>
    <w:rsid w:val="007E73E9"/>
    <w:rsid w:val="007E7B2B"/>
    <w:rsid w:val="007E7CBA"/>
    <w:rsid w:val="007F05E0"/>
    <w:rsid w:val="007F0ACD"/>
    <w:rsid w:val="007F0B77"/>
    <w:rsid w:val="007F0D37"/>
    <w:rsid w:val="007F0DD3"/>
    <w:rsid w:val="007F1061"/>
    <w:rsid w:val="007F1178"/>
    <w:rsid w:val="007F11FA"/>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A"/>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654"/>
    <w:rsid w:val="00805767"/>
    <w:rsid w:val="00805809"/>
    <w:rsid w:val="00805A48"/>
    <w:rsid w:val="00805CB3"/>
    <w:rsid w:val="00806979"/>
    <w:rsid w:val="0080699F"/>
    <w:rsid w:val="00806CD1"/>
    <w:rsid w:val="00806D29"/>
    <w:rsid w:val="00806E8D"/>
    <w:rsid w:val="00807562"/>
    <w:rsid w:val="008076B5"/>
    <w:rsid w:val="0080770D"/>
    <w:rsid w:val="008079C7"/>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7D7"/>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9D"/>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579"/>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04"/>
    <w:rsid w:val="0085378A"/>
    <w:rsid w:val="00853B2A"/>
    <w:rsid w:val="00853C45"/>
    <w:rsid w:val="00854090"/>
    <w:rsid w:val="008540E5"/>
    <w:rsid w:val="008541B6"/>
    <w:rsid w:val="00854290"/>
    <w:rsid w:val="0085434A"/>
    <w:rsid w:val="0085487C"/>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181"/>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2D"/>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056"/>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BE"/>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88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1DDF"/>
    <w:rsid w:val="008F2201"/>
    <w:rsid w:val="008F2595"/>
    <w:rsid w:val="008F2694"/>
    <w:rsid w:val="008F2B4B"/>
    <w:rsid w:val="008F3601"/>
    <w:rsid w:val="008F3798"/>
    <w:rsid w:val="008F3A44"/>
    <w:rsid w:val="008F3D2D"/>
    <w:rsid w:val="008F3D7C"/>
    <w:rsid w:val="008F3DC9"/>
    <w:rsid w:val="008F4107"/>
    <w:rsid w:val="008F4240"/>
    <w:rsid w:val="008F45CD"/>
    <w:rsid w:val="008F473A"/>
    <w:rsid w:val="008F48AD"/>
    <w:rsid w:val="008F4BFE"/>
    <w:rsid w:val="008F4C66"/>
    <w:rsid w:val="008F4D45"/>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5BA3"/>
    <w:rsid w:val="00906100"/>
    <w:rsid w:val="0090626F"/>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04B"/>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B41"/>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0AC0"/>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2D2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6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B9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0DBE"/>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50A"/>
    <w:rsid w:val="009659EA"/>
    <w:rsid w:val="00965A1D"/>
    <w:rsid w:val="009662CB"/>
    <w:rsid w:val="0096691D"/>
    <w:rsid w:val="00966EC4"/>
    <w:rsid w:val="0096766C"/>
    <w:rsid w:val="00967851"/>
    <w:rsid w:val="009679AA"/>
    <w:rsid w:val="00967D2D"/>
    <w:rsid w:val="00967E7F"/>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4AA"/>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65B"/>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678"/>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5E67"/>
    <w:rsid w:val="009A6127"/>
    <w:rsid w:val="009A637B"/>
    <w:rsid w:val="009A6456"/>
    <w:rsid w:val="009A6A3C"/>
    <w:rsid w:val="009A6BAA"/>
    <w:rsid w:val="009A6C74"/>
    <w:rsid w:val="009A6D91"/>
    <w:rsid w:val="009A7154"/>
    <w:rsid w:val="009A7159"/>
    <w:rsid w:val="009A78D1"/>
    <w:rsid w:val="009B003C"/>
    <w:rsid w:val="009B0097"/>
    <w:rsid w:val="009B0264"/>
    <w:rsid w:val="009B0A7D"/>
    <w:rsid w:val="009B0CB8"/>
    <w:rsid w:val="009B0D82"/>
    <w:rsid w:val="009B10C1"/>
    <w:rsid w:val="009B1118"/>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712"/>
    <w:rsid w:val="00A009FB"/>
    <w:rsid w:val="00A01006"/>
    <w:rsid w:val="00A011C6"/>
    <w:rsid w:val="00A01F3F"/>
    <w:rsid w:val="00A01F62"/>
    <w:rsid w:val="00A021CA"/>
    <w:rsid w:val="00A023BF"/>
    <w:rsid w:val="00A02844"/>
    <w:rsid w:val="00A02B26"/>
    <w:rsid w:val="00A03893"/>
    <w:rsid w:val="00A0394B"/>
    <w:rsid w:val="00A03A26"/>
    <w:rsid w:val="00A0403F"/>
    <w:rsid w:val="00A04101"/>
    <w:rsid w:val="00A04399"/>
    <w:rsid w:val="00A0443B"/>
    <w:rsid w:val="00A04541"/>
    <w:rsid w:val="00A04846"/>
    <w:rsid w:val="00A0486E"/>
    <w:rsid w:val="00A04A92"/>
    <w:rsid w:val="00A04F7D"/>
    <w:rsid w:val="00A050D3"/>
    <w:rsid w:val="00A0533D"/>
    <w:rsid w:val="00A053CB"/>
    <w:rsid w:val="00A0559E"/>
    <w:rsid w:val="00A05A1F"/>
    <w:rsid w:val="00A05BA9"/>
    <w:rsid w:val="00A05CF4"/>
    <w:rsid w:val="00A05DFF"/>
    <w:rsid w:val="00A05FF8"/>
    <w:rsid w:val="00A06CE9"/>
    <w:rsid w:val="00A06E66"/>
    <w:rsid w:val="00A06F57"/>
    <w:rsid w:val="00A07264"/>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11"/>
    <w:rsid w:val="00A42659"/>
    <w:rsid w:val="00A42721"/>
    <w:rsid w:val="00A42897"/>
    <w:rsid w:val="00A42937"/>
    <w:rsid w:val="00A429DE"/>
    <w:rsid w:val="00A42D52"/>
    <w:rsid w:val="00A42F76"/>
    <w:rsid w:val="00A4339C"/>
    <w:rsid w:val="00A43631"/>
    <w:rsid w:val="00A43995"/>
    <w:rsid w:val="00A439DE"/>
    <w:rsid w:val="00A44702"/>
    <w:rsid w:val="00A44775"/>
    <w:rsid w:val="00A44882"/>
    <w:rsid w:val="00A44AA5"/>
    <w:rsid w:val="00A44E28"/>
    <w:rsid w:val="00A44FD8"/>
    <w:rsid w:val="00A4508F"/>
    <w:rsid w:val="00A4570E"/>
    <w:rsid w:val="00A45A1B"/>
    <w:rsid w:val="00A45A3B"/>
    <w:rsid w:val="00A45A5D"/>
    <w:rsid w:val="00A45B31"/>
    <w:rsid w:val="00A45CA8"/>
    <w:rsid w:val="00A45FE5"/>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F8"/>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AF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342"/>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88A"/>
    <w:rsid w:val="00A83BF1"/>
    <w:rsid w:val="00A83C06"/>
    <w:rsid w:val="00A83D3C"/>
    <w:rsid w:val="00A84298"/>
    <w:rsid w:val="00A8452F"/>
    <w:rsid w:val="00A84F55"/>
    <w:rsid w:val="00A8513A"/>
    <w:rsid w:val="00A8523D"/>
    <w:rsid w:val="00A853DF"/>
    <w:rsid w:val="00A85661"/>
    <w:rsid w:val="00A85EE4"/>
    <w:rsid w:val="00A85FFF"/>
    <w:rsid w:val="00A861C4"/>
    <w:rsid w:val="00A864F3"/>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7E6"/>
    <w:rsid w:val="00AA1D12"/>
    <w:rsid w:val="00AA1EEC"/>
    <w:rsid w:val="00AA2061"/>
    <w:rsid w:val="00AA210C"/>
    <w:rsid w:val="00AA22ED"/>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644"/>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D66"/>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FE1"/>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1B0B"/>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312"/>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1E2"/>
    <w:rsid w:val="00B31295"/>
    <w:rsid w:val="00B3172E"/>
    <w:rsid w:val="00B31E5F"/>
    <w:rsid w:val="00B322AA"/>
    <w:rsid w:val="00B32607"/>
    <w:rsid w:val="00B326BE"/>
    <w:rsid w:val="00B32821"/>
    <w:rsid w:val="00B32BDD"/>
    <w:rsid w:val="00B32CE3"/>
    <w:rsid w:val="00B32EA2"/>
    <w:rsid w:val="00B332E7"/>
    <w:rsid w:val="00B33595"/>
    <w:rsid w:val="00B3396B"/>
    <w:rsid w:val="00B33CC2"/>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4BF"/>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1C"/>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061"/>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76"/>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0E9"/>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3A6"/>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05"/>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FAA"/>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973"/>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403"/>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1"/>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0FC"/>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AC"/>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DD8"/>
    <w:rsid w:val="00CB2EBF"/>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7DD"/>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11F"/>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18D"/>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EA5"/>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5E8"/>
    <w:rsid w:val="00D578C5"/>
    <w:rsid w:val="00D57C20"/>
    <w:rsid w:val="00D57F0A"/>
    <w:rsid w:val="00D600BE"/>
    <w:rsid w:val="00D60207"/>
    <w:rsid w:val="00D6033D"/>
    <w:rsid w:val="00D6047B"/>
    <w:rsid w:val="00D604D6"/>
    <w:rsid w:val="00D6052B"/>
    <w:rsid w:val="00D60A93"/>
    <w:rsid w:val="00D60BCB"/>
    <w:rsid w:val="00D60CB2"/>
    <w:rsid w:val="00D60D3A"/>
    <w:rsid w:val="00D60DD4"/>
    <w:rsid w:val="00D60E71"/>
    <w:rsid w:val="00D6105A"/>
    <w:rsid w:val="00D61261"/>
    <w:rsid w:val="00D612EE"/>
    <w:rsid w:val="00D620B9"/>
    <w:rsid w:val="00D62243"/>
    <w:rsid w:val="00D6239A"/>
    <w:rsid w:val="00D6278F"/>
    <w:rsid w:val="00D6280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1E43"/>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1F0"/>
    <w:rsid w:val="00D822D5"/>
    <w:rsid w:val="00D824B5"/>
    <w:rsid w:val="00D8289C"/>
    <w:rsid w:val="00D829AC"/>
    <w:rsid w:val="00D829DE"/>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CFB"/>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0F7"/>
    <w:rsid w:val="00DA41B2"/>
    <w:rsid w:val="00DA43CA"/>
    <w:rsid w:val="00DA4412"/>
    <w:rsid w:val="00DA492A"/>
    <w:rsid w:val="00DA4C85"/>
    <w:rsid w:val="00DA4D11"/>
    <w:rsid w:val="00DA5A53"/>
    <w:rsid w:val="00DA5CA9"/>
    <w:rsid w:val="00DA5DC3"/>
    <w:rsid w:val="00DA5E7E"/>
    <w:rsid w:val="00DA714A"/>
    <w:rsid w:val="00DA71AF"/>
    <w:rsid w:val="00DA727D"/>
    <w:rsid w:val="00DA79AC"/>
    <w:rsid w:val="00DA7A85"/>
    <w:rsid w:val="00DA7BC7"/>
    <w:rsid w:val="00DA7E4C"/>
    <w:rsid w:val="00DB0487"/>
    <w:rsid w:val="00DB0564"/>
    <w:rsid w:val="00DB0814"/>
    <w:rsid w:val="00DB0FE7"/>
    <w:rsid w:val="00DB1086"/>
    <w:rsid w:val="00DB147B"/>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4D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F2"/>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52"/>
    <w:rsid w:val="00E17B9C"/>
    <w:rsid w:val="00E17C3F"/>
    <w:rsid w:val="00E17CFB"/>
    <w:rsid w:val="00E202F9"/>
    <w:rsid w:val="00E20661"/>
    <w:rsid w:val="00E20862"/>
    <w:rsid w:val="00E20AD1"/>
    <w:rsid w:val="00E20E6F"/>
    <w:rsid w:val="00E214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95A"/>
    <w:rsid w:val="00E272FE"/>
    <w:rsid w:val="00E2789C"/>
    <w:rsid w:val="00E27C81"/>
    <w:rsid w:val="00E27DC9"/>
    <w:rsid w:val="00E302E5"/>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2D"/>
    <w:rsid w:val="00E375EA"/>
    <w:rsid w:val="00E377BF"/>
    <w:rsid w:val="00E37AAA"/>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A92"/>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1D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F7"/>
    <w:rsid w:val="00E83BF7"/>
    <w:rsid w:val="00E83E6E"/>
    <w:rsid w:val="00E843F9"/>
    <w:rsid w:val="00E84A52"/>
    <w:rsid w:val="00E84CB0"/>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380"/>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A83"/>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698"/>
    <w:rsid w:val="00ED374D"/>
    <w:rsid w:val="00ED3755"/>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68A"/>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069"/>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9F"/>
    <w:rsid w:val="00F0388F"/>
    <w:rsid w:val="00F03891"/>
    <w:rsid w:val="00F03985"/>
    <w:rsid w:val="00F03BC0"/>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106"/>
    <w:rsid w:val="00F124CB"/>
    <w:rsid w:val="00F128F4"/>
    <w:rsid w:val="00F12B3D"/>
    <w:rsid w:val="00F12D63"/>
    <w:rsid w:val="00F1301B"/>
    <w:rsid w:val="00F134F0"/>
    <w:rsid w:val="00F1389E"/>
    <w:rsid w:val="00F138CE"/>
    <w:rsid w:val="00F13EB3"/>
    <w:rsid w:val="00F13FAF"/>
    <w:rsid w:val="00F1403E"/>
    <w:rsid w:val="00F1415B"/>
    <w:rsid w:val="00F1476B"/>
    <w:rsid w:val="00F149F8"/>
    <w:rsid w:val="00F154EC"/>
    <w:rsid w:val="00F15860"/>
    <w:rsid w:val="00F15F91"/>
    <w:rsid w:val="00F1664B"/>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2EA8"/>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26"/>
    <w:rsid w:val="00F31CCA"/>
    <w:rsid w:val="00F31D75"/>
    <w:rsid w:val="00F31D82"/>
    <w:rsid w:val="00F31F17"/>
    <w:rsid w:val="00F31F7E"/>
    <w:rsid w:val="00F3236F"/>
    <w:rsid w:val="00F32374"/>
    <w:rsid w:val="00F323F6"/>
    <w:rsid w:val="00F32B59"/>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EF8"/>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237"/>
    <w:rsid w:val="00F654FA"/>
    <w:rsid w:val="00F65D14"/>
    <w:rsid w:val="00F65E11"/>
    <w:rsid w:val="00F660B8"/>
    <w:rsid w:val="00F669E3"/>
    <w:rsid w:val="00F66A26"/>
    <w:rsid w:val="00F6793E"/>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04A"/>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B84"/>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A33"/>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7D8"/>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 w:val="00FF7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uiPriority w:val="35"/>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1"/>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6A7E43"/>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4621"/>
  </w:style>
  <w:style w:type="numbering" w:customStyle="1" w:styleId="StyleBulletedSymbolsymbolLeft025Hanging02511">
    <w:name w:val="Style Bulleted Symbol (symbol) Left:  0.25&quot; Hanging:  0.25&quot;11"/>
    <w:basedOn w:val="NoList"/>
    <w:rsid w:val="00C64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335675">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9888731">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848139">
      <w:bodyDiv w:val="1"/>
      <w:marLeft w:val="0"/>
      <w:marRight w:val="0"/>
      <w:marTop w:val="0"/>
      <w:marBottom w:val="0"/>
      <w:divBdr>
        <w:top w:val="none" w:sz="0" w:space="0" w:color="auto"/>
        <w:left w:val="none" w:sz="0" w:space="0" w:color="auto"/>
        <w:bottom w:val="none" w:sz="0" w:space="0" w:color="auto"/>
        <w:right w:val="none" w:sz="0" w:space="0" w:color="auto"/>
      </w:divBdr>
      <w:divsChild>
        <w:div w:id="1529683239">
          <w:marLeft w:val="547"/>
          <w:marRight w:val="0"/>
          <w:marTop w:val="134"/>
          <w:marBottom w:val="0"/>
          <w:divBdr>
            <w:top w:val="none" w:sz="0" w:space="0" w:color="auto"/>
            <w:left w:val="none" w:sz="0" w:space="0" w:color="auto"/>
            <w:bottom w:val="none" w:sz="0" w:space="0" w:color="auto"/>
            <w:right w:val="none" w:sz="0" w:space="0" w:color="auto"/>
          </w:divBdr>
        </w:div>
        <w:div w:id="416439450">
          <w:marLeft w:val="1166"/>
          <w:marRight w:val="0"/>
          <w:marTop w:val="115"/>
          <w:marBottom w:val="0"/>
          <w:divBdr>
            <w:top w:val="none" w:sz="0" w:space="0" w:color="auto"/>
            <w:left w:val="none" w:sz="0" w:space="0" w:color="auto"/>
            <w:bottom w:val="none" w:sz="0" w:space="0" w:color="auto"/>
            <w:right w:val="none" w:sz="0" w:space="0" w:color="auto"/>
          </w:divBdr>
        </w:div>
        <w:div w:id="16547601">
          <w:marLeft w:val="2074"/>
          <w:marRight w:val="0"/>
          <w:marTop w:val="96"/>
          <w:marBottom w:val="0"/>
          <w:divBdr>
            <w:top w:val="none" w:sz="0" w:space="0" w:color="auto"/>
            <w:left w:val="none" w:sz="0" w:space="0" w:color="auto"/>
            <w:bottom w:val="none" w:sz="0" w:space="0" w:color="auto"/>
            <w:right w:val="none" w:sz="0" w:space="0" w:color="auto"/>
          </w:divBdr>
        </w:div>
        <w:div w:id="444885366">
          <w:marLeft w:val="1166"/>
          <w:marRight w:val="0"/>
          <w:marTop w:val="115"/>
          <w:marBottom w:val="0"/>
          <w:divBdr>
            <w:top w:val="none" w:sz="0" w:space="0" w:color="auto"/>
            <w:left w:val="none" w:sz="0" w:space="0" w:color="auto"/>
            <w:bottom w:val="none" w:sz="0" w:space="0" w:color="auto"/>
            <w:right w:val="none" w:sz="0" w:space="0" w:color="auto"/>
          </w:divBdr>
        </w:div>
        <w:div w:id="1946034740">
          <w:marLeft w:val="547"/>
          <w:marRight w:val="0"/>
          <w:marTop w:val="134"/>
          <w:marBottom w:val="0"/>
          <w:divBdr>
            <w:top w:val="none" w:sz="0" w:space="0" w:color="auto"/>
            <w:left w:val="none" w:sz="0" w:space="0" w:color="auto"/>
            <w:bottom w:val="none" w:sz="0" w:space="0" w:color="auto"/>
            <w:right w:val="none" w:sz="0" w:space="0" w:color="auto"/>
          </w:divBdr>
        </w:div>
        <w:div w:id="2110006746">
          <w:marLeft w:val="1166"/>
          <w:marRight w:val="0"/>
          <w:marTop w:val="115"/>
          <w:marBottom w:val="0"/>
          <w:divBdr>
            <w:top w:val="none" w:sz="0" w:space="0" w:color="auto"/>
            <w:left w:val="none" w:sz="0" w:space="0" w:color="auto"/>
            <w:bottom w:val="none" w:sz="0" w:space="0" w:color="auto"/>
            <w:right w:val="none" w:sz="0" w:space="0" w:color="auto"/>
          </w:divBdr>
        </w:div>
        <w:div w:id="1600261492">
          <w:marLeft w:val="1166"/>
          <w:marRight w:val="0"/>
          <w:marTop w:val="115"/>
          <w:marBottom w:val="0"/>
          <w:divBdr>
            <w:top w:val="none" w:sz="0" w:space="0" w:color="auto"/>
            <w:left w:val="none" w:sz="0" w:space="0" w:color="auto"/>
            <w:bottom w:val="none" w:sz="0" w:space="0" w:color="auto"/>
            <w:right w:val="none" w:sz="0" w:space="0" w:color="auto"/>
          </w:divBdr>
        </w:div>
        <w:div w:id="2140830339">
          <w:marLeft w:val="1627"/>
          <w:marRight w:val="0"/>
          <w:marTop w:val="106"/>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407699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2598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855656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872187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88607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1508902">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0BB322-2140-4C19-96F1-92BA9A48A8F3}">
  <ds:schemaRefs>
    <ds:schemaRef ds:uri="http://schemas.openxmlformats.org/officeDocument/2006/bibliography"/>
  </ds:schemaRefs>
</ds:datastoreItem>
</file>

<file path=customXml/itemProps6.xml><?xml version="1.0" encoding="utf-8"?>
<ds:datastoreItem xmlns:ds="http://schemas.openxmlformats.org/officeDocument/2006/customXml" ds:itemID="{50AF0323-8E0C-4973-A895-4C3EB5AC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882</Words>
  <Characters>5001</Characters>
  <Application>Microsoft Office Word</Application>
  <DocSecurity>0</DocSecurity>
  <Lines>84</Lines>
  <Paragraphs>43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5857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Panteleev, Sergey</cp:lastModifiedBy>
  <cp:revision>9</cp:revision>
  <cp:lastPrinted>2016-05-08T07:33:00Z</cp:lastPrinted>
  <dcterms:created xsi:type="dcterms:W3CDTF">2019-01-11T23:01:00Z</dcterms:created>
  <dcterms:modified xsi:type="dcterms:W3CDTF">2019-02-15T22:35:00Z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e59a1ec9-4d3b-4f46-a061-fbc279c530d0</vt:lpwstr>
  </property>
  <property fmtid="{D5CDD505-2E9C-101B-9397-08002B2CF9AE}" pid="6" name="CTP_TimeStamp">
    <vt:lpwstr>2019-02-15 22:35:47Z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